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B255D" w:rsidRDefault="00081ACA" w:rsidP="00677C48">
      <w:pP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Постановление Правительства Тверской области от 25 апреля 2017 г. N 112-пп</w:t>
      </w:r>
      <w:r w:rsidR="00677C48" w:rsidRPr="00AB25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</w:t>
      </w:r>
      <w:r w:rsidRPr="00AB25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"О Порядке предоставления из областного бюджета Тверской области субсидий сельскохозяйственным товаропроизводителям на возмещение части затрат на п</w:t>
      </w:r>
      <w:r w:rsidRPr="00AB25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риобретение технологического оборудования для объектов молочного скотоводства"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В целях реализации мероприятий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государственной программы Тверской области "Сельское хозяйство Тверской области" на 2017 - 2022 годы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, утвержденной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постановлением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Правительства Тверской области от 30.12.2016 N 460-пп "О государственной программе Тверской области "Сельское хозяйство Тверской области" на 2017 - 2022 годы", Правительство Тверской области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постановляет: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0" w:name="sub_1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1. Утвердить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Порядок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предоставления из областного бюджета Тверской области субсидий сельскохозяйственным товаропроизводителям на возмещение части затрат на приобретение технологического оборудования для объекто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в молочного скотоводства (прилагается).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" w:name="sub_2"/>
      <w:bookmarkEnd w:id="0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2. Признать утратившими силу: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" w:name="sub_21"/>
      <w:bookmarkEnd w:id="1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а)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постановление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Правительства Тверской области от 26.02.2013 N 67-пп "Об утверждении Порядка предоставления субсидий на поддержк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у молочного скотоводства";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" w:name="sub_22"/>
      <w:bookmarkEnd w:id="2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б)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пункт 3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постановления Правительства Тверской области от 04.06.2013 N 211-пп "О внесении изменений в отдельные постановления Правительства Тверской области";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" w:name="sub_23"/>
      <w:bookmarkEnd w:id="3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в)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постановление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Правительства Тверской области от 29.10.2013 N 539-пп "О внесении изменений в постановление Правительства Тверской области от 26.02.2013 N 67-пп";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5" w:name="sub_24"/>
      <w:bookmarkEnd w:id="4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г)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постановление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Правительства Тверской области от 19.12.2013 N 664-пп "О внесении изменений в отдельные постановления Правительства Тверской области";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6" w:name="sub_25"/>
      <w:bookmarkEnd w:id="5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д)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постановление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Правительства Тверской области от 02.12.2014 N 617-пп "О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внесении изменений в постановление Правительства Тверской области от 26.02.2013 N 67-пп";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7" w:name="sub_26"/>
      <w:bookmarkEnd w:id="6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е)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постановление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Правительства Тверской области от 15.12.2015 N 615-пп "О внесении изменений в постановление Правител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ьства Тверской области от 26.02.2013 N 67-пп".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8" w:name="sub_3"/>
      <w:bookmarkEnd w:id="7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3. Настоящее постановление вступает в силу со дня его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официального опубликования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.</w:t>
      </w:r>
    </w:p>
    <w:bookmarkEnd w:id="8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Губернатор Тверской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jc w:val="right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И.М. </w:t>
            </w:r>
            <w:proofErr w:type="spellStart"/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Руденя</w:t>
            </w:r>
            <w:proofErr w:type="spellEnd"/>
          </w:p>
        </w:tc>
      </w:tr>
    </w:tbl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ind w:firstLine="698"/>
        <w:jc w:val="right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9" w:name="sub_1000"/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Приложение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 xml:space="preserve">к </w:t>
      </w:r>
      <w:r w:rsidR="00677C48" w:rsidRPr="00AB25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постановлению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Правительства Тверской области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от 25.04.2017 N 112-пп</w:t>
      </w:r>
    </w:p>
    <w:bookmarkEnd w:id="9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Порядок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предоставления из областного бюджета Тверской области субсидий сельскохозяйственным товаропроизводителям на возмещение части затрат на приобретение технологиче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ского оборудования для объектов молочного скотоводства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0" w:name="sub_100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Раздел I.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Общие положения о предоставлении субсидии</w:t>
      </w:r>
    </w:p>
    <w:bookmarkEnd w:id="10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1" w:name="sub_1001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1. Настоящий Порядок регламентирует процедуру предоставления за счет средств областного бюджета Тверской области субсидий сельскохозяйственным товаропроизводителям в целях возмещения части затрат на приобретение технологического оборудования для объектов м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олочного скотоводства (далее - Субсидия), направленных на совершенствование производственной базы отрасли молочного скотоводства.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2" w:name="sub_1002"/>
      <w:bookmarkEnd w:id="11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2. Главным распорядителем средств областного бюджета Тверской области на выплату Субсидии является Министерств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 сельского хозяйства Тверской области (далее - Министерство).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3" w:name="sub_1003"/>
      <w:bookmarkEnd w:id="12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3. Право на получение Субсидии имеют сельскохозяйственные товаропроизводители, за исключением граждан, ведущих личное подсобное хозяйство, признанные таковыми в соответствии со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статьей 3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Федерального закона от 29.12.2006 N 264-ФЗ "О развитии сельского хозяйства", независимо от их организационно-правовой формы (далее - сельскохозяйственные товаропроизводители).</w:t>
      </w:r>
    </w:p>
    <w:bookmarkEnd w:id="13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4. Субсидия предоставляет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ся сельскохозяйственным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товаропроизводителям в целях возмещения части затрат за приобретенное в отчетном и (или) текущем году (в том числе по лизингу) новое (не бывшее в эксплуатации) оборудование для объектов молочного скотоводства при условии, что выручк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а (доход) у сельскохозяйственных товаропроизводителей за отчетный год согласно формам отчетности о финансово-экономическом состоянии товаропроизводителей агропромышленного комплекса, утвержденным приказом Министерства сельского хозяйства Российской Федерац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ии "Об утверждении форм отчетности", не превышает 800 000,0 тыс. руб.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4" w:name="sub_200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Раздел II.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Условия и порядок предоставления Субсидии</w:t>
      </w:r>
    </w:p>
    <w:bookmarkEnd w:id="14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5. Субсидия сельскохозяйственным товаропроизводителям предоставляется при соответствии следующим условиям на момент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подачи документов в государственное казенное учреждение Тверской области "Центр развития агропромышленного комплекса Тверской области" (далее - ГКУ) или филиалы государственного автономного учреждения Тверской области "Многофункциональный центр предоставле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ния государственных и муниципальных услуг" (далее - филиалы ГАУ "МФЦ"):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5" w:name="sub_1020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а) постановка на учет в налоговых органах на территории Тверской области (в том числе по месту нахождения обособленных подразделений);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6" w:name="sub_1021"/>
      <w:bookmarkEnd w:id="15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б) отсутствие вступившего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7" w:name="sub_1022"/>
      <w:bookmarkEnd w:id="16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в)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законодательством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Российской Федерации о налогах и сборах (по состоянию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на дату не ранее 30 рабочих дней до даты подачи документов в ГКУ или филиалы ГАУ "МФЦ");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8" w:name="sub_1023"/>
      <w:bookmarkEnd w:id="17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 xml:space="preserve">г) отсутствие просроченной задолженности по возврату в областной бюджет Тверской области субсидий, бюджетных инвестиций, предоставленных в том числе в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соответствии с иными правовыми актами Тверской области, и иной просроченной задолженности перед областным бюджетом Тверской области;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19" w:name="sub_1024"/>
      <w:bookmarkEnd w:id="18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д) сельскохозяйственный товаропроизводитель не должен: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0" w:name="sub_1231"/>
      <w:bookmarkEnd w:id="19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юридическое лицо - находиться в проц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ессе реорганизации, ликвидации, банкротства;</w:t>
      </w:r>
    </w:p>
    <w:bookmarkEnd w:id="20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индивидуальный предприниматель - прекратить деятельность в качестве индивидуального предпринимателя;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являться иностранным юридическим лицом, а также российским юридическим лицом, в уставном (складочном)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1" w:name="sub_1232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получать средства из област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ного бюджета Тверской области на основании иных нормативных правовых актов Тверской области на цели, указанные в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пункте 1 раздела 1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настоящего Порядка.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2" w:name="sub_1006"/>
      <w:bookmarkEnd w:id="21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6. Субсидия предоставляется в соответствии со ставкой субсидии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сельскохозяйственным товаропроизводителям на возмещение части затрат на приобретение технологического оборудования для объектов молочного скотоводства согласно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приложению 1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к настоящему Порядку.</w:t>
      </w:r>
    </w:p>
    <w:bookmarkEnd w:id="22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7. Субсидия предоставляется в пределах лимитов бюджетных обязательств, доведенных Министерству Министерством финансов Тверской области на текущий финансовый год, в порядке очередности поступления документов в ГКУ или филиалы ГАУ "МФЦ" от сельскохозяйственн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ых товаропроизводителей исходя из даты, времени и регистрационного номера предоставления полного пакета документов.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В случае недостаточности лимита бюджетных обязательств для предоставления Субсидии ГКУ прекращает прием документов.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Документы, представленны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е по окончании лимита бюджетных обязательств для предоставления Субсидии, подлежат возврату ГКУ сельскохозяйственным товаропроизводителям.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3" w:name="sub_1233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При поступлении в Министерство документов от филиалов ГАУ "МФЦ" в случае недостаточности лимитов бюджетных об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язательств для предоставления Субсидии Министерство возвращает документы сельскохозяйственному товаропроизводителю.</w:t>
      </w:r>
    </w:p>
    <w:bookmarkEnd w:id="23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8. Сельскохозяйственные товаропроизводители в срок до 29 декабря текущего года представляют в ГКУ или филиалы ГАУ "МФЦ" документы с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огласно </w:t>
      </w:r>
      <w:proofErr w:type="gramStart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перечню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документов</w:t>
      </w:r>
      <w:proofErr w:type="gramEnd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для предоставления из областного бюджета Тверской области субсидий сельскохозяйственным товаропроизводителям на возмещение части затрат на приобретение технологического оборудования для объектов молочного скотоводства (далее - Пе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речень документов) (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приложение 2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к настоящему Порядку).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Сельскохозяйственные товаропроизводители несут ответственность за достоверность сведений, содержащихся в представленных в ГКУ или филиалы ГАУ "МФЦ" документах, в соответствии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с законодательством.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4" w:name="sub_1009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9. ГКУ в течение 8 рабочих дней со дня поступления документов осуществляет прием и проверку документов на их соответствие Перечню документов, а также определяет соответствие сельскохозяйственных товаропроизводителей требования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м законодательства и условиям настоящего Порядка.</w:t>
      </w:r>
    </w:p>
    <w:bookmarkEnd w:id="24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В случае несоответствия формы, содержания, в том числе комплектности представленных документов, условиям настоящего Порядка ГКУ в срок, установленный абзацем первым настоящего пункта, возвращает их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сельскохозяйственным товаропроизводителям с указанием причин возврата.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Возврат документов не является препятствием для повторного обращения для получения Субсидии.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В срок, установленный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абзацем первым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настоящего пункта, ГКУ предст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авляет в Министерство заключение о соответствии (несоответствии) сельскохозяйственных товаропроизводителей требованиям законодательства и условиям настоящего Порядка по форме, утвержденной Министерством (далее - Заключение), и пакет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документов для начислен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ия Субсидии согласно Перечню документов.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9.1. Ф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илиалы ГАУ "МФЦ" в течение 1 рабочего дня со дня получения от сельскохозяйственного товаропроизводителя документов передают их в Министерство.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10. Министерство на основании Заключения в течение 7 рабочих дней со дня его поступления принимает решение о пр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едоставлении Субсидии в форме приказа Министерства и заключает соглашение о предоставлении Субсидии по типовой форме, утвержденной Министерством финансов Тверской области (далее - Соглашение), либо об отказе в предоставлении Субсидии в форме уведомления и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направляет его сельскохозяйственному товаропроизводителю с указанием причин отказа.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5" w:name="sub_1235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При поступлении документов от филиалов ГАУ "МФЦ" Министерство в течение 14 рабочих дней со дня их поступления осуществляет проверку документов, определяет соответст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вие сельскохозяйственных товаропроизводителей требованиям законодательства и условиям настоящего Порядка.</w:t>
      </w:r>
    </w:p>
    <w:bookmarkEnd w:id="25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В случае несоответствия формы, содержания, в том числе комплектности представленных документов, условиям настоящего Порядка Министерство в сро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к, установленный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абзацем вторым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настоящего пункта, возвращает их сельскохозяйственным товаропроизводителям с указанием причин возврата. Возврат документов не является препятствием для повторного обращения для получения Субсидии.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В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срок, установленный </w:t>
      </w:r>
      <w:r w:rsidR="00677C48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абзацем вторым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настоящего пункта, Министерство принимает решение о предоставлении Субсидии в форме приказа Министерства или об отказе в предоставлении Субсидии в форме уведомления.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6" w:name="sub_1011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11. Основания для от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каза сельскохозяйственному товаропроизводителю в предоставлении Субсидии: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7" w:name="sub_1025"/>
      <w:bookmarkEnd w:id="26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а) несоответствие представленных сельскохозяйственным товаропроизводителем документов требованиям, определенным Перечнем документов, или непредставление (представлени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е не в полном объеме) указанных документов;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8" w:name="sub_1026"/>
      <w:bookmarkEnd w:id="27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б) недостоверность представленной сельскохозяйственным товаропроизводителем информации;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29" w:name="sub_1027"/>
      <w:bookmarkEnd w:id="28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в) несоответствие сельскохозяйственного товаропроизводителя условиям настоящего Порядка.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0" w:name="sub_1012"/>
      <w:bookmarkEnd w:id="29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12. В случае принятия решения о предоставлении Субсидии перечисление Субсидии сельскохозяйственному товаропроизводителю осуществляется не позднее десятого рабочего дня со дня принятия указанного решения Министерством на расчетные счета, открыт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ые сельскохозяйственным товаропроизводителем в учреждениях Центрального банка Российской Федерации или кредитных организациях.</w:t>
      </w:r>
    </w:p>
    <w:bookmarkEnd w:id="30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1" w:name="sub_300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Раздел III.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Требования к отчетности</w:t>
      </w:r>
    </w:p>
    <w:bookmarkEnd w:id="31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2" w:name="sub_1013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3. Требования к отчетности, представляемой сельскохозяйственным товаропроизводителем, устанавливаются приказами Министерства, которые включают порядок, сроки и формы представления отчетов, определенных Соглашением.</w:t>
      </w:r>
    </w:p>
    <w:bookmarkEnd w:id="32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3" w:name="sub_400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Раздел IV.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 xml:space="preserve">Требования об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осуществлении контроля за соблюдением условий, целей и порядка предоставления Субсидии и ответственности за их нарушение</w:t>
      </w:r>
    </w:p>
    <w:bookmarkEnd w:id="33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4" w:name="sub_1014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14. Министерство осуществляет контроль за деятельностью ТКУ в соответствии с </w:t>
      </w:r>
      <w:r w:rsidR="00AB255D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постановление</w:t>
      </w:r>
      <w:r w:rsidR="00AB255D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м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Правительства Тверской области от 01.09.2011 N 21-пп "О порядке осуществления контроля за деятельностью государственных учреждений Тверской области".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5" w:name="sub_1015"/>
      <w:bookmarkEnd w:id="34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15. Контроль за целевым и эффективным использованием бюджетных средств осуществля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ется в соответствии с бюджетным законодательством Российской Федерации.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6" w:name="sub_1016"/>
      <w:bookmarkEnd w:id="35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16. Соблюдение условий, целей и порядка предоставления Субсидии подлежит обязательной проверке Министерством и органом государственного финансового контроля в порядке,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определяемом Правительством Тверской области.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7" w:name="sub_1017"/>
      <w:bookmarkEnd w:id="36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17. В случае установления факта несоблюдения требований, установленных настоящим Порядком, невыполнения условий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Соглашения, представления сельскохозяйственным товаропроизводителем документов, со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держащих недостоверные сведения, а также в случае отчуждения приобретенного оборудования для объектов молочного скотоводства в период срока его полезного использования, указанного в номенклатуре приобретенного оборудования для объектов молочного скотоводст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ва (</w:t>
      </w:r>
      <w:r w:rsidR="00AB255D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приложение 3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к Перечню документов), сельскохозяйственный товаропроизводитель несет ответственность, предусмотренную законодательством, а полученная Субсидия подлежит возврату в доход областного бюджета Тверской области в соотв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етствии с законодательством.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8" w:name="sub_1018"/>
      <w:bookmarkEnd w:id="37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18. Министерство в течение 5 рабочих дней со дня установления фактов, предусмотренных </w:t>
      </w:r>
      <w:r w:rsidR="00AB255D"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пунктом 17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настоящего Порядка, направляет сельскохозяйственному товаропроизводителю письменное увед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омление о необходимости возврата полученной Субсидии с указанием реквизитов для перечисления денежных средств.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39" w:name="sub_1019"/>
      <w:bookmarkEnd w:id="38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19. Сельскохозяйственный товаропроизводитель в течение 20 рабочих дней со дня получения письменного уведомления обязан произвести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возврат полученной суммы Субсидии в доход областного бюджета Тверской области.</w:t>
      </w:r>
    </w:p>
    <w:bookmarkEnd w:id="39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Возврат производится сельскохозяйственным товаропроизводителем в добровольном порядке, а в случае отказа или возврата Субсидии не в полном объеме Субсидия взыскивается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в судебном порядке в соответствии с законодательством.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ind w:firstLine="698"/>
        <w:jc w:val="right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0" w:name="sub_1100"/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Приложение 1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 xml:space="preserve">к </w:t>
      </w:r>
      <w:r w:rsidR="00AB255D"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Порядку 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предоставления из областного бюджета Тверской области</w:t>
      </w:r>
      <w:r w:rsid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субсидий сельскохозяйственным товаропроизводителям на возмещение части затрат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на приобрет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ение технологического оборудования для объектов молочного скотоводства</w:t>
      </w:r>
    </w:p>
    <w:bookmarkEnd w:id="40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Ставка субсидии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сельскохозяйственным товаропроизводителям на возмещение части затрат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на приобретение технологического оборудования для объектов молочного скотоводства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968"/>
        <w:gridCol w:w="3067"/>
      </w:tblGrid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Направле</w:t>
            </w: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ние субсидирования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Единица</w:t>
            </w:r>
          </w:p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измерения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Ставка субсидии за счет средств областного бюджета Тверской области</w:t>
            </w:r>
          </w:p>
        </w:tc>
      </w:tr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За приобретенное в отчетном и (или) текущем году (в том числе по лизингу) новое (не бывшее в эксплуатации) оборудо</w:t>
            </w: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вание для объектов молочного скотоводства</w:t>
            </w:r>
            <w:hyperlink w:anchor="sub_111" w:history="1">
              <w:r w:rsidRPr="00AB255D">
                <w:rPr>
                  <w:rStyle w:val="a4"/>
                  <w:rFonts w:ascii="Times New Roman" w:hAnsi="Times New Roman" w:cs="Times New Roman"/>
                  <w:color w:val="385623" w:themeColor="accent6" w:themeShade="80"/>
                  <w:sz w:val="36"/>
                  <w:szCs w:val="36"/>
                </w:rPr>
                <w:t>*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фактические</w:t>
            </w:r>
          </w:p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затраты,</w:t>
            </w:r>
          </w:p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руб.</w:t>
            </w:r>
          </w:p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(без НДС)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20%</w:t>
            </w:r>
          </w:p>
        </w:tc>
      </w:tr>
    </w:tbl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1" w:name="sub_111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* вид оборудования по Общероссийскому классификатору продукции по видам экономической деятельности (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ОКПД2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):</w:t>
      </w:r>
    </w:p>
    <w:bookmarkEnd w:id="41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установки и аппараты доильные (код по </w:t>
      </w:r>
      <w:hyperlink r:id="rId5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ОКПД2 28.30.82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) (установки доильные, аппараты доильные);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оборудование для обработки и переработки молока (код по </w:t>
      </w:r>
      <w:hyperlink r:id="rId6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ОКПД2 28.93</w:t>
        </w:r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.12.000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) (насосы и устройства для перекачивания и транспортировки молока на фермах, емкости для хранения молока, оборудование для учета молока, оборудование для дезинфекции, мойки и стерилизации молочной продукции, машины и оборудование для доения и тра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нспортировки молока прочие, очистители-охладители молока, пастеризаторы, сепараторы-сливкоотделители, оборудование лабораторное для анализа молока, машины и оборудование для первичной обработки молока прочие);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оборудование для приготовления кормов для живо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тных (код по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ОКПД2 28.30.83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) (дробилки для кормов, </w:t>
      </w:r>
      <w:proofErr w:type="spellStart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измельчители</w:t>
      </w:r>
      <w:proofErr w:type="spellEnd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грубых и сочных кормов, смесители кормов, мойки и мойки-корнерезки);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загрузчики, разгрузчики для животноводческих ферм (код по </w:t>
      </w:r>
      <w:hyperlink r:id="rId7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ОКПД2 28.22.18.250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)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(раздатчики кормов для ферм крупного рогатого скота);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оборудование для сельского хозяйства, не включенное в другие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 xml:space="preserve">группировки (код по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ОКПД2 28.30.86.110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) (оборудование для приготовления </w:t>
      </w:r>
      <w:proofErr w:type="spellStart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кормосмесей</w:t>
      </w:r>
      <w:proofErr w:type="spellEnd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, агрегаты кормоприготовительные, автопоилки для ферм крупного рогатого скота, установки для выпойки телят заменителями молока и машины для раздачи кормов и поения прочие,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машины и оборудование для внесения подс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тилки, установки для удаления навоза и навозной жижи, оборудование для отопления и регулирования микроклимата, устройства для очистки, дезинфекции помещений и животных, комплект оборудования сборных стойл для коров, </w:t>
      </w:r>
      <w:proofErr w:type="spellStart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электропастухи</w:t>
      </w:r>
      <w:proofErr w:type="spellEnd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, привязи, станки и оборуд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ование для ухода за животными прочее).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ind w:firstLine="698"/>
        <w:jc w:val="right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2" w:name="sub_1200"/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Приложение 2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 xml:space="preserve">к </w:t>
      </w:r>
      <w:r w:rsidR="00AB255D"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Порядку 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предоставления из областного бюджета Тверской области</w:t>
      </w:r>
      <w:r w:rsid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субсидий сельскохозяйственным</w:t>
      </w:r>
      <w:r w:rsid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товаропроизводителям на возмещение части затрат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на приобретение технологиче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ского оборудования для объектов молочного скотоводства</w:t>
      </w:r>
    </w:p>
    <w:bookmarkEnd w:id="42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Перечень документов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для предоставления из областного бюджета Тверской области субсидий сельскохозяйственным товаропроизводителям на возмещение части затрат на приобретение технологического обо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рудования для объектов молочного скотоводства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3" w:name="sub_1201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1. Заявление на предоставление из областного бюджета Тверской области субсидий сельскохозяйственным товаропроизводителям на возмещение части затрат на приобретение технологического оборудования для объ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ектов молочного скотоводства (далее - Заявление) по форме согласно </w:t>
      </w:r>
      <w:hyperlink w:anchor="sub_1210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приложению 1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к настоящему перечню.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4" w:name="sub_1202"/>
      <w:bookmarkEnd w:id="43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2. Справка-расчет для предоставления из областного бюджета Тверской области субсидии сельскохозяйственным товаро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производителям на возмещение части затрат на приобретение технологического оборудования для объектов молочного скотоводства по форме согласно </w:t>
      </w:r>
      <w:hyperlink w:anchor="sub_1220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приложению 2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к настоящему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перечню.</w:t>
      </w:r>
    </w:p>
    <w:bookmarkEnd w:id="44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3. Документ, подтверждающий статус сельскохозяйс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твенного товаропроизводителя (заверенные сельскохозяйственным товаропроизводителем копии отчета о финансовых результатах по </w:t>
      </w:r>
      <w:hyperlink r:id="rId8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форме N 2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, отчета об отраслевых показателях деятельности организаций агропромышленного компле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кса по </w:t>
      </w:r>
      <w:hyperlink r:id="rId9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форме N 6-АПК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или информация о производственной деятельности глав крестьянских фермерских хозяйств - индивидуальных предпринимателей по </w:t>
      </w:r>
      <w:hyperlink r:id="rId10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форме N 1-КФХ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(для главы крестьянс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кого фермерского хозяйства - индивидуального предпринимателя), информация о производственной деятельности индивидуальных предпринимателей по </w:t>
      </w:r>
      <w:hyperlink r:id="rId11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форме N 1-ИП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(для индивидуального предпринимателя, занимающегося сельскохоз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яйственным производством (не являющегося главой крестьянского фермерского хозяйства) за предшествующий финансовый год, утвержденной </w:t>
      </w:r>
      <w:hyperlink r:id="rId12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приказом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Министерства сельского хозяйства Российской Федерации. Отчетность представляетс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я один раз в текущем финансовом году при подаче Заявления.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5" w:name="sub_1204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4. Заверенные сельскохозяйственным товаропроизводителем копии договоров и документов, подтверждающих приобретение и оплату в отчетном и (или) текущем году оборудования для объектов молочног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 скотоводства. В случае приобретения оборудования для объектов молочного скотоводства по лизингу также предоставляется копия договора лизинга.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6" w:name="sub_1205"/>
      <w:bookmarkEnd w:id="45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5. Номенклатура приобретенного оборудования для объектов молочного скотоводства по форме согласн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о </w:t>
      </w:r>
      <w:hyperlink w:anchor="sub_1230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приложению 3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к настоящему перечню.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7" w:name="sub_1206"/>
      <w:bookmarkEnd w:id="46"/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6. Заверенная сельскохозяйственным товаропроизводителем копия акта о приеме-передаче оборудования в монтаж по </w:t>
      </w:r>
      <w:hyperlink r:id="rId13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форме N ОС-15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(для оборудов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ания, подлежащего монтажу).</w:t>
      </w:r>
    </w:p>
    <w:bookmarkEnd w:id="47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7.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законодат</w:t>
        </w:r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ельством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Российской Федерации о налогах и сборах, выданная по состоянию на дату не ранее 30 рабочих дней до даты подачи документов в государственное казенное учреждение Тверской области "Центр развития агропромышленного комплекса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Тверской области" или ф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илиалы государственного автономного учреждения Тверской области "Многофункциональный центр предоставления государственных и муниципальных услуг", или ее копия, заверенная сельскохозяйственным товаропроизводителем.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Примечание. Требования к представлению док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ументов, предусмотренных настоящим перечнем, применяются с учетом положений </w:t>
      </w:r>
      <w:hyperlink r:id="rId15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Федерального закона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от 27.07.2010 N 210-ФЗ "Об организации предоставления государственных и муниципальных услуг".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AB255D" w:rsidRDefault="00081ACA">
      <w:pPr>
        <w:ind w:firstLine="698"/>
        <w:jc w:val="right"/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Приложение 1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 xml:space="preserve">к </w:t>
      </w:r>
      <w:hyperlink w:anchor="sub_1200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перечню</w:t>
        </w:r>
      </w:hyperlink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документов для предоставления из областного бюджета Тверской области</w:t>
      </w:r>
      <w:r w:rsid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субсидий сельскохозяйственным товаропроизводителям на возмещение части затрат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на приобретение технологичес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кого оборудования </w:t>
      </w:r>
    </w:p>
    <w:p w:rsidR="00000000" w:rsidRPr="00AB255D" w:rsidRDefault="00081ACA">
      <w:pPr>
        <w:ind w:firstLine="698"/>
        <w:jc w:val="right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8" w:name="_GoBack"/>
      <w:bookmarkEnd w:id="48"/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для объектов молочного скотоводства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Заявление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на предоставление из областного бюджета Тверской области субсидий сельскохозяйственным товаропроизводителям на возмещение части затрат на приобретение технологического оборудования для объект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ов молочного скотоводства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Заявитель _________________________________________________________________________ 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(наименование сельскохозяйственного товаропроизводителя муниципальный район/городской округ)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Прошу предоставить из областного бюджета Тверской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области субсидию на возмещение части затрат на приобретение технологического оборудования для объектов молочного скотоводства. Соответствие требованиям </w:t>
      </w:r>
      <w:hyperlink w:anchor="sub_1005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пункта 5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Порядка предоставления из областного бюджета Тверской области субсид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ий сельскохозяйственным товаропроизводителям на возмещение части затрат на приобретение технологического оборудования для объектов молочного скотоводства, утвержденного Правительством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Тверской области, подтверждаю.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Местонахождение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_________________________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___________________________________________ 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Зарегистрирован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____________________________________________________________________ 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(наименование регистрационного органа)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ОГРН ______________________________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ИНН __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_____________________________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Контактный телефон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Реквизиты для перечисления субсидии: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Банк _______________________________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hyperlink r:id="rId16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БИК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________________________________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Кор./счет ____________________________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Р/счет ________________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hyperlink r:id="rId17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ОКАТО</w:t>
        </w:r>
      </w:hyperlink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(до муниципального образования)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_______________________________________________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Об ответственности за представление заведомо недостоверной информации и фиктивных документов предупрежден.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Документы на __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 листах.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 ________________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(подпись) (Ф.И.О.)</w:t>
      </w:r>
    </w:p>
    <w:p w:rsidR="00000000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М.П. (при наличии) "____ " _______________ 20 ____ г.</w:t>
      </w:r>
    </w:p>
    <w:p w:rsidR="00AB255D" w:rsidRDefault="00AB255D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AB255D" w:rsidRPr="00AB255D" w:rsidRDefault="00AB255D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AB255D" w:rsidRDefault="00081ACA">
      <w:pPr>
        <w:ind w:firstLine="698"/>
        <w:jc w:val="right"/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Приложение 2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 xml:space="preserve">к </w:t>
      </w:r>
      <w:hyperlink w:anchor="sub_1200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перечню</w:t>
        </w:r>
      </w:hyperlink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документов для предоставления из областного бюджета Тверской области</w:t>
      </w:r>
      <w:r w:rsid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субсидий сельскохозяйственным товаропроизводителям на возмещение части затрат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на приобретение технологического оборудования </w:t>
      </w:r>
    </w:p>
    <w:p w:rsidR="00000000" w:rsidRPr="00AB255D" w:rsidRDefault="00081ACA">
      <w:pPr>
        <w:ind w:firstLine="698"/>
        <w:jc w:val="right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для объектов молочного скотоводства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lastRenderedPageBreak/>
        <w:t>Справка-расчет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для предоставления из областного бюджета Тверской области субсидии сельскохозяйственным товаропроизводителям на возмещение</w:t>
      </w:r>
      <w:r w:rsid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части затрат на приобретение технол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огического оборудования для объектов молочного скотоводства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____________________________________________________________________ 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Наименование сельскохозяйственного товаропроизводителя, муниципальный район/городской округ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179"/>
        <w:gridCol w:w="2187"/>
        <w:gridCol w:w="1550"/>
        <w:gridCol w:w="1581"/>
      </w:tblGrid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N</w:t>
            </w:r>
          </w:p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п/п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Направление су</w:t>
            </w: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бсидирования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Фактические затраты (без НДС, транспортных, таможенных расходов и расходов на пусконаладочные работы),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Ставка </w:t>
            </w:r>
            <w:proofErr w:type="gramStart"/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субсидии,%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Сумма субсидии (гр. 3 х гр. 4/100), руб.</w:t>
            </w:r>
          </w:p>
        </w:tc>
      </w:tr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5</w:t>
            </w:r>
          </w:p>
        </w:tc>
      </w:tr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За приобретенное в отчетном и (или) текущем году (в том числе по лизингу) новое (не бывшее в эксплуатации) оборудование для объектов молочного скотоводства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8"/>
        <w:gridCol w:w="3744"/>
      </w:tblGrid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Руководитель организации, крестьянского (фермерского) хозяйства, индивидуальный предприниматель - </w:t>
            </w: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lastRenderedPageBreak/>
              <w:t>сельскохозяйственный товаропроизводитель</w:t>
            </w:r>
          </w:p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________________ _______________</w:t>
            </w:r>
          </w:p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(подпись) (Ф.И.О.)</w:t>
            </w:r>
          </w:p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М.П. (при наличии) "____" ______________ 20 ____ г.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lastRenderedPageBreak/>
              <w:t>Главный бухг</w:t>
            </w: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алтер</w:t>
            </w:r>
          </w:p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lastRenderedPageBreak/>
              <w:t>________________ _______________</w:t>
            </w:r>
          </w:p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(подпись) (Ф.И.О.)</w:t>
            </w:r>
          </w:p>
        </w:tc>
      </w:tr>
    </w:tbl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AB255D" w:rsidRDefault="00AB255D">
      <w:pPr>
        <w:ind w:firstLine="698"/>
        <w:jc w:val="right"/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</w:pPr>
      <w:bookmarkStart w:id="49" w:name="sub_1230"/>
    </w:p>
    <w:p w:rsidR="00AB255D" w:rsidRDefault="00081ACA">
      <w:pPr>
        <w:ind w:firstLine="698"/>
        <w:jc w:val="right"/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Приложение 3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 xml:space="preserve">к </w:t>
      </w:r>
      <w:hyperlink w:anchor="sub_1200" w:history="1">
        <w:r w:rsidRPr="00AB255D">
          <w:rPr>
            <w:rStyle w:val="a4"/>
            <w:rFonts w:ascii="Times New Roman" w:hAnsi="Times New Roman" w:cs="Times New Roman"/>
            <w:color w:val="385623" w:themeColor="accent6" w:themeShade="80"/>
            <w:sz w:val="36"/>
            <w:szCs w:val="36"/>
          </w:rPr>
          <w:t>перечню</w:t>
        </w:r>
      </w:hyperlink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документов для предоставления из областного бюджета Тверской области</w:t>
      </w:r>
      <w:r w:rsid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субсидий сельскохозяйственным товаропроизводителям на возмещение части затрат</w:t>
      </w: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 xml:space="preserve">на приобретение технологического оборудования </w:t>
      </w:r>
    </w:p>
    <w:p w:rsidR="00000000" w:rsidRPr="00AB255D" w:rsidRDefault="00081ACA">
      <w:pPr>
        <w:ind w:firstLine="698"/>
        <w:jc w:val="right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Style w:val="a3"/>
          <w:rFonts w:ascii="Times New Roman" w:hAnsi="Times New Roman" w:cs="Times New Roman"/>
          <w:color w:val="385623" w:themeColor="accent6" w:themeShade="80"/>
          <w:sz w:val="36"/>
          <w:szCs w:val="36"/>
        </w:rPr>
        <w:t>для объектов молочного скотоводства</w:t>
      </w:r>
    </w:p>
    <w:bookmarkEnd w:id="49"/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pStyle w:val="1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Номенклатура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приобретенного оборудования для объектов молочного скотоводства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  <w:t>в 20 ___ г</w:t>
      </w: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оду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____________________________________________________________________ 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(наименование сельскохозяйственного товаропроизводителя, муниципальный район/городской округ)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960"/>
        <w:gridCol w:w="1646"/>
        <w:gridCol w:w="1675"/>
        <w:gridCol w:w="1075"/>
        <w:gridCol w:w="1939"/>
      </w:tblGrid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Наименование приобретенного оборудования для объектов молочного скотоводст</w:t>
            </w: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Марка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Количество,</w:t>
            </w:r>
          </w:p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Цена за единицу, руб. (по договору)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Сумма,</w:t>
            </w:r>
          </w:p>
          <w:p w:rsidR="00000000" w:rsidRPr="00AB255D" w:rsidRDefault="00081ACA">
            <w:pPr>
              <w:pStyle w:val="a9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AB255D" w:rsidRDefault="00081ACA">
            <w:pPr>
              <w:pStyle w:val="a8"/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Дата истечения срока полезного использования оборудования для объектов молочного скотоводст</w:t>
            </w:r>
            <w:r w:rsidRPr="00AB255D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lastRenderedPageBreak/>
              <w:t>ва</w:t>
            </w:r>
          </w:p>
        </w:tc>
      </w:tr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</w:tr>
      <w:tr w:rsidR="00AB255D" w:rsidRPr="00AB255D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B255D" w:rsidRDefault="00081ACA">
            <w:pPr>
              <w:pStyle w:val="a8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_________ _________________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(подпись) (Ф.И.О.)</w:t>
      </w:r>
    </w:p>
    <w:p w:rsidR="00000000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081ACA" w:rsidRPr="00AB255D" w:rsidRDefault="00081ACA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B255D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М.П. (при наличии) "___ " ________________ 20 ___ г.</w:t>
      </w:r>
    </w:p>
    <w:sectPr w:rsidR="00081ACA" w:rsidRPr="00AB255D" w:rsidSect="00677C48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8"/>
    <w:rsid w:val="00081ACA"/>
    <w:rsid w:val="00677C48"/>
    <w:rsid w:val="00A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7DA052-D812-4670-9410-CF4AB2A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Hyperlink"/>
    <w:basedOn w:val="a0"/>
    <w:uiPriority w:val="99"/>
    <w:unhideWhenUsed/>
    <w:rsid w:val="00677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96468.2000" TargetMode="External"/><Relationship Id="rId13" Type="http://schemas.openxmlformats.org/officeDocument/2006/relationships/hyperlink" Target="garantF1://12029903.13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0730.282218250" TargetMode="External"/><Relationship Id="rId12" Type="http://schemas.openxmlformats.org/officeDocument/2006/relationships/hyperlink" Target="garantF1://71196468.0" TargetMode="External"/><Relationship Id="rId17" Type="http://schemas.openxmlformats.org/officeDocument/2006/relationships/hyperlink" Target="garantF1://790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550730.289312" TargetMode="External"/><Relationship Id="rId11" Type="http://schemas.openxmlformats.org/officeDocument/2006/relationships/hyperlink" Target="garantF1://71783720.12000" TargetMode="External"/><Relationship Id="rId5" Type="http://schemas.openxmlformats.org/officeDocument/2006/relationships/hyperlink" Target="garantF1://70550730.283081190" TargetMode="Externa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garantF1://71196468.15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1196468.7000" TargetMode="External"/><Relationship Id="rId1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3746</Words>
  <Characters>21358</Characters>
  <Application>Microsoft Office Word</Application>
  <DocSecurity>0</DocSecurity>
  <Lines>177</Lines>
  <Paragraphs>50</Paragraphs>
  <ScaleCrop>false</ScaleCrop>
  <Company>НПП "Гарант-Сервис"</Company>
  <LinksUpToDate>false</LinksUpToDate>
  <CharactersWithSpaces>25054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2020-10-23T13:14:00Z</dcterms:created>
  <dcterms:modified xsi:type="dcterms:W3CDTF">2020-10-23T13:19:00Z</dcterms:modified>
</cp:coreProperties>
</file>