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D4" w:rsidRPr="00AD3B0C" w:rsidRDefault="00192D6A" w:rsidP="00874ED4">
      <w:pPr>
        <w:jc w:val="center"/>
        <w:rPr>
          <w:b/>
          <w:i/>
          <w:sz w:val="32"/>
          <w:szCs w:val="32"/>
        </w:rPr>
      </w:pPr>
      <w:r w:rsidRPr="00AD3B0C">
        <w:rPr>
          <w:b/>
          <w:i/>
          <w:sz w:val="32"/>
          <w:szCs w:val="32"/>
        </w:rPr>
        <w:t>Письмо Федеральной налоговой службы</w:t>
      </w:r>
    </w:p>
    <w:p w:rsidR="00874ED4" w:rsidRPr="00AD3B0C" w:rsidRDefault="00192D6A" w:rsidP="00874ED4">
      <w:pPr>
        <w:jc w:val="center"/>
        <w:rPr>
          <w:i/>
          <w:sz w:val="32"/>
          <w:szCs w:val="32"/>
        </w:rPr>
      </w:pPr>
      <w:r w:rsidRPr="00AD3B0C">
        <w:rPr>
          <w:b/>
          <w:i/>
          <w:sz w:val="32"/>
          <w:szCs w:val="32"/>
        </w:rPr>
        <w:t>от 19 июля 2021 г. N БС-4-11/101</w:t>
      </w:r>
      <w:r w:rsidRPr="00AD3B0C">
        <w:rPr>
          <w:b/>
          <w:i/>
          <w:sz w:val="32"/>
          <w:szCs w:val="32"/>
        </w:rPr>
        <w:t>14@</w:t>
      </w:r>
    </w:p>
    <w:p w:rsidR="00000000" w:rsidRPr="00AD3B0C" w:rsidRDefault="00192D6A" w:rsidP="00874ED4">
      <w:pPr>
        <w:ind w:firstLine="0"/>
        <w:rPr>
          <w:i/>
          <w:sz w:val="32"/>
          <w:szCs w:val="32"/>
        </w:rPr>
      </w:pPr>
      <w:r w:rsidRPr="00AD3B0C">
        <w:rPr>
          <w:i/>
          <w:sz w:val="32"/>
          <w:szCs w:val="32"/>
        </w:rPr>
        <w:t>Об уплате страховых взносов на обязательное пенсионное страхование и обязательное медицинское страхование в фиксированном размере физическим лицом, не производящим выплаты и иные вознаграждения физическим лицам и осуществляющим предпринимательскую деят</w:t>
      </w:r>
      <w:r w:rsidRPr="00AD3B0C">
        <w:rPr>
          <w:i/>
          <w:sz w:val="32"/>
          <w:szCs w:val="32"/>
        </w:rPr>
        <w:t>ельность или иную деятельность, установленную законодательством РФ, не являющуюся предпринимательской, а также одновременно являющегося главой крестьянского (фермерского) хозяйства</w:t>
      </w:r>
    </w:p>
    <w:p w:rsidR="00000000" w:rsidRPr="00874ED4" w:rsidRDefault="00192D6A">
      <w:pPr>
        <w:rPr>
          <w:sz w:val="32"/>
          <w:szCs w:val="32"/>
        </w:rPr>
      </w:pP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>Федеральная налоговая служба в связи с поступающими обращ</w:t>
      </w:r>
      <w:bookmarkStart w:id="0" w:name="_GoBack"/>
      <w:bookmarkEnd w:id="0"/>
      <w:r w:rsidRPr="00874ED4">
        <w:rPr>
          <w:sz w:val="32"/>
          <w:szCs w:val="32"/>
        </w:rPr>
        <w:t>ениями от упра</w:t>
      </w:r>
      <w:r w:rsidRPr="00874ED4">
        <w:rPr>
          <w:sz w:val="32"/>
          <w:szCs w:val="32"/>
        </w:rPr>
        <w:t>влений ФНС России по субъектам Российской Федерации по вопросу уплаты страховых взносов на обязательное пенсионное страхование и обязательное медицинское страхование в фиксированном размере физическим лицом, не производящим выплаты и иные вознаграждения фи</w:t>
      </w:r>
      <w:r w:rsidRPr="00874ED4">
        <w:rPr>
          <w:sz w:val="32"/>
          <w:szCs w:val="32"/>
        </w:rPr>
        <w:t>зическим лицам и осуществляющим предпринимательскую деятельность или иную деятельность, установленную законодательством Российской Федерации, не являющуюся предпринимательской, а также одновременно являющегося главой крестьянского (фермерского) хозяйства (</w:t>
      </w:r>
      <w:r w:rsidRPr="00874ED4">
        <w:rPr>
          <w:sz w:val="32"/>
          <w:szCs w:val="32"/>
        </w:rPr>
        <w:t>далее - главы КФХ), сообщает следующее.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 xml:space="preserve">В соответствии с </w:t>
      </w:r>
      <w:hyperlink r:id="rId7" w:history="1">
        <w:r w:rsidRPr="00874ED4">
          <w:rPr>
            <w:rStyle w:val="a4"/>
            <w:color w:val="auto"/>
            <w:sz w:val="32"/>
            <w:szCs w:val="32"/>
          </w:rPr>
          <w:t>подпунктом 2 пункта 1 статьи 419</w:t>
        </w:r>
      </w:hyperlink>
      <w:r w:rsidRPr="00874ED4">
        <w:rPr>
          <w:sz w:val="32"/>
          <w:szCs w:val="32"/>
        </w:rPr>
        <w:t xml:space="preserve"> Налогового кодекса Российской Федерации (далее - Налоговый кодекс) плательщиками страховых взносов являются лица, не производящие выплаты и иные вознаграждения физическим лицам (не работодатели), в частности, индивидуальные предприниматели.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>Для целей прим</w:t>
      </w:r>
      <w:r w:rsidRPr="00874ED4">
        <w:rPr>
          <w:sz w:val="32"/>
          <w:szCs w:val="32"/>
        </w:rPr>
        <w:t xml:space="preserve">енения Налогового кодекса на основании </w:t>
      </w:r>
      <w:hyperlink r:id="rId8" w:history="1">
        <w:r w:rsidRPr="00874ED4">
          <w:rPr>
            <w:rStyle w:val="a4"/>
            <w:color w:val="auto"/>
            <w:sz w:val="32"/>
            <w:szCs w:val="32"/>
          </w:rPr>
          <w:t>пункта 2 статьи 11</w:t>
        </w:r>
      </w:hyperlink>
      <w:r w:rsidRPr="00874ED4">
        <w:rPr>
          <w:sz w:val="32"/>
          <w:szCs w:val="32"/>
        </w:rPr>
        <w:t xml:space="preserve"> Налогового кодекса главы КФХ относятся к индивидуальным предпринимателям.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>Указанные плательщики страховых взносов уплачивают с</w:t>
      </w:r>
      <w:r w:rsidRPr="00874ED4">
        <w:rPr>
          <w:sz w:val="32"/>
          <w:szCs w:val="32"/>
        </w:rPr>
        <w:t xml:space="preserve">траховые взносы в порядке, установленном </w:t>
      </w:r>
      <w:hyperlink r:id="rId9" w:history="1">
        <w:r w:rsidRPr="00874ED4">
          <w:rPr>
            <w:rStyle w:val="a4"/>
            <w:color w:val="auto"/>
            <w:sz w:val="32"/>
            <w:szCs w:val="32"/>
          </w:rPr>
          <w:t>статьей 430</w:t>
        </w:r>
      </w:hyperlink>
      <w:r w:rsidRPr="00874ED4">
        <w:rPr>
          <w:sz w:val="32"/>
          <w:szCs w:val="32"/>
        </w:rPr>
        <w:t xml:space="preserve"> Налогового кодекса.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 xml:space="preserve">Положениями </w:t>
      </w:r>
      <w:hyperlink r:id="rId10" w:history="1">
        <w:r w:rsidRPr="00874ED4">
          <w:rPr>
            <w:rStyle w:val="a4"/>
            <w:color w:val="auto"/>
            <w:sz w:val="32"/>
            <w:szCs w:val="32"/>
          </w:rPr>
          <w:t>подпункта 1 пункта 1 статьи 43</w:t>
        </w:r>
        <w:r w:rsidRPr="00874ED4">
          <w:rPr>
            <w:rStyle w:val="a4"/>
            <w:color w:val="auto"/>
            <w:sz w:val="32"/>
            <w:szCs w:val="32"/>
          </w:rPr>
          <w:t>0</w:t>
        </w:r>
      </w:hyperlink>
      <w:r w:rsidRPr="00874ED4">
        <w:rPr>
          <w:sz w:val="32"/>
          <w:szCs w:val="32"/>
        </w:rPr>
        <w:t xml:space="preserve"> Налогового кодекса для индивидуальных предпринимателей установлен дифференцированный подход к определению размера страховых взносов на обязательное пенсионное страхование исходя из их дохода (при величине дохода до 300 000 руб. за расчетный период стр</w:t>
      </w:r>
      <w:r w:rsidRPr="00874ED4">
        <w:rPr>
          <w:sz w:val="32"/>
          <w:szCs w:val="32"/>
        </w:rPr>
        <w:t>аховые взносы уплачиваются в фиксированном размере, свыше 300 000 руб. - в фиксированном размере плюс 1,0% от суммы дохода, превышающего 300 000 руб.). Страховые взносы на обязательное медицинское страхование индивидуальные предприниматели, не производящие</w:t>
      </w:r>
      <w:r w:rsidRPr="00874ED4">
        <w:rPr>
          <w:sz w:val="32"/>
          <w:szCs w:val="32"/>
        </w:rPr>
        <w:t xml:space="preserve"> выплаты и иные вознаграждения физическим лицам, уплачивают только в фиксированном размере независимо от величины их дохода.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lastRenderedPageBreak/>
        <w:t xml:space="preserve">Исходя из положений </w:t>
      </w:r>
      <w:hyperlink r:id="rId11" w:history="1">
        <w:r w:rsidRPr="00874ED4">
          <w:rPr>
            <w:rStyle w:val="a4"/>
            <w:color w:val="auto"/>
            <w:sz w:val="32"/>
            <w:szCs w:val="32"/>
          </w:rPr>
          <w:t>пункта 2 статьи 430</w:t>
        </w:r>
      </w:hyperlink>
      <w:r w:rsidRPr="00874ED4">
        <w:rPr>
          <w:sz w:val="32"/>
          <w:szCs w:val="32"/>
        </w:rPr>
        <w:t xml:space="preserve"> Налогового кодекса,</w:t>
      </w:r>
      <w:r w:rsidRPr="00874ED4">
        <w:rPr>
          <w:sz w:val="32"/>
          <w:szCs w:val="32"/>
        </w:rPr>
        <w:t xml:space="preserve"> главы КФХ уплачивают страховые взносы на обязательное пенсионное страхование и на обязательное медицинское страхование за себя и за каждого члена КФХ только в фиксированных размерах.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 xml:space="preserve">Положениями </w:t>
      </w:r>
      <w:hyperlink r:id="rId12" w:history="1">
        <w:r w:rsidRPr="00874ED4">
          <w:rPr>
            <w:rStyle w:val="a4"/>
            <w:color w:val="auto"/>
            <w:sz w:val="32"/>
            <w:szCs w:val="32"/>
          </w:rPr>
          <w:t>Налогового кодекса</w:t>
        </w:r>
      </w:hyperlink>
      <w:r w:rsidRPr="00874ED4">
        <w:rPr>
          <w:sz w:val="32"/>
          <w:szCs w:val="32"/>
        </w:rPr>
        <w:t xml:space="preserve"> не предусмотрен дифференцированный подход к определению размера страховых взносов на обязательное пенсионное страхование для глав КФХ в зависимости от полученного объема дохода, то есть главы КФХ не уплачивают страховые взносы н</w:t>
      </w:r>
      <w:r w:rsidRPr="00874ED4">
        <w:rPr>
          <w:sz w:val="32"/>
          <w:szCs w:val="32"/>
        </w:rPr>
        <w:t>а обязательное пенсионное страхование в размере 1,0% от суммы дохода, превышающего 300 000 рублей за расчетный период.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 xml:space="preserve">В случае, если физическое лицо относится к одной категории, поименованной в </w:t>
      </w:r>
      <w:hyperlink r:id="rId13" w:history="1">
        <w:r w:rsidRPr="00874ED4">
          <w:rPr>
            <w:rStyle w:val="a4"/>
            <w:color w:val="auto"/>
            <w:sz w:val="32"/>
            <w:szCs w:val="32"/>
          </w:rPr>
          <w:t>подпункте 2 пункта 1 статьи 419</w:t>
        </w:r>
      </w:hyperlink>
      <w:r w:rsidRPr="00874ED4">
        <w:rPr>
          <w:sz w:val="32"/>
          <w:szCs w:val="32"/>
        </w:rPr>
        <w:t xml:space="preserve"> Налогового кодекса (не работодатели), осуществляет не только предпринимательскую или иную профессиональную деятельность, а также является главой КФХ, то такой плательщик как глава КФХ на основании </w:t>
      </w:r>
      <w:hyperlink r:id="rId14" w:history="1">
        <w:r w:rsidRPr="00874ED4">
          <w:rPr>
            <w:rStyle w:val="a4"/>
            <w:color w:val="auto"/>
            <w:sz w:val="32"/>
            <w:szCs w:val="32"/>
          </w:rPr>
          <w:t>пункта 3 статьи 432</w:t>
        </w:r>
      </w:hyperlink>
      <w:r w:rsidRPr="00874ED4">
        <w:rPr>
          <w:sz w:val="32"/>
          <w:szCs w:val="32"/>
        </w:rPr>
        <w:t xml:space="preserve"> Налогового кодекса представляет до 30 января календарного года, следующего за истекшим расчетным периодом, в налоговый орган по месту учета расчет по страховым взносам с исчислен</w:t>
      </w:r>
      <w:r w:rsidRPr="00874ED4">
        <w:rPr>
          <w:sz w:val="32"/>
          <w:szCs w:val="32"/>
        </w:rPr>
        <w:t xml:space="preserve">ными сумами страховых взносов, подлежащих уплате во внебюджетные государственный фонды и уплачивает страховые взносы в порядке, установленном для данной категории </w:t>
      </w:r>
      <w:hyperlink r:id="rId15" w:history="1">
        <w:r w:rsidRPr="00874ED4">
          <w:rPr>
            <w:rStyle w:val="a4"/>
            <w:color w:val="auto"/>
            <w:sz w:val="32"/>
            <w:szCs w:val="32"/>
          </w:rPr>
          <w:t>статьей 430</w:t>
        </w:r>
      </w:hyperlink>
      <w:r w:rsidRPr="00874ED4">
        <w:rPr>
          <w:sz w:val="32"/>
          <w:szCs w:val="32"/>
        </w:rPr>
        <w:t xml:space="preserve"> Кодекса.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>Т</w:t>
      </w:r>
      <w:r w:rsidRPr="00874ED4">
        <w:rPr>
          <w:sz w:val="32"/>
          <w:szCs w:val="32"/>
        </w:rPr>
        <w:t>аким образом, за расчетный период такой плательщик как единый субъект правоотношений: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>- однократно уплачивает за себя фиксированные платежи по страховым взносам на обязательное пенсионное страхование и на обязательное медицинское страхование в размерах, ус</w:t>
      </w:r>
      <w:r w:rsidRPr="00874ED4">
        <w:rPr>
          <w:sz w:val="32"/>
          <w:szCs w:val="32"/>
        </w:rPr>
        <w:t xml:space="preserve">тановленных </w:t>
      </w:r>
      <w:hyperlink r:id="rId16" w:history="1">
        <w:r w:rsidRPr="00874ED4">
          <w:rPr>
            <w:rStyle w:val="a4"/>
            <w:color w:val="auto"/>
            <w:sz w:val="32"/>
            <w:szCs w:val="32"/>
          </w:rPr>
          <w:t>пунктом 1 статьи 430</w:t>
        </w:r>
      </w:hyperlink>
      <w:r w:rsidRPr="00874ED4">
        <w:rPr>
          <w:sz w:val="32"/>
          <w:szCs w:val="32"/>
        </w:rPr>
        <w:t xml:space="preserve"> Кодекса (в частности, за расчетный период 2021 года в размере 32 448 руб. и 8 426 руб. соответственно), независимо от количества видов осуществляемой д</w:t>
      </w:r>
      <w:r w:rsidRPr="00874ED4">
        <w:rPr>
          <w:sz w:val="32"/>
          <w:szCs w:val="32"/>
        </w:rPr>
        <w:t>еятельности (предпринимательской деятельности и деятельности в качестве главы КФХ);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>- доплачивает как индивидуальный предприниматель либо физическое лицо, осуществляющее иную деятельность, установленную законодательством Российской Федерации, не являющуюся</w:t>
      </w:r>
      <w:r w:rsidRPr="00874ED4">
        <w:rPr>
          <w:sz w:val="32"/>
          <w:szCs w:val="32"/>
        </w:rPr>
        <w:t xml:space="preserve"> предпринимательской, на свое пенсионное страхование 1,0% с суммы дохода только от предпринимательской или иной профессиональной деятельности, превышающей 300 000 руб. за расчетный период (но до определенной предельной величины, определяемой как восьмикрат</w:t>
      </w:r>
      <w:r w:rsidRPr="00874ED4">
        <w:rPr>
          <w:sz w:val="32"/>
          <w:szCs w:val="32"/>
        </w:rPr>
        <w:t xml:space="preserve">ный фиксированный размер страховых взносов на обязательное пенсионное страхование, установленный </w:t>
      </w:r>
      <w:hyperlink r:id="rId17" w:history="1">
        <w:r w:rsidRPr="00874ED4">
          <w:rPr>
            <w:rStyle w:val="a4"/>
            <w:color w:val="auto"/>
            <w:sz w:val="32"/>
            <w:szCs w:val="32"/>
          </w:rPr>
          <w:t>абзацем вторым подпункта 1 пункта 1 статьи 430</w:t>
        </w:r>
      </w:hyperlink>
      <w:r w:rsidRPr="00874ED4">
        <w:rPr>
          <w:sz w:val="32"/>
          <w:szCs w:val="32"/>
        </w:rPr>
        <w:t xml:space="preserve"> Налогового кодекса);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>- за каждого член</w:t>
      </w:r>
      <w:r w:rsidRPr="00874ED4">
        <w:rPr>
          <w:sz w:val="32"/>
          <w:szCs w:val="32"/>
        </w:rPr>
        <w:t xml:space="preserve">а КФХ, главой которых является, уплачивает </w:t>
      </w:r>
      <w:r w:rsidRPr="00874ED4">
        <w:rPr>
          <w:sz w:val="32"/>
          <w:szCs w:val="32"/>
        </w:rPr>
        <w:lastRenderedPageBreak/>
        <w:t xml:space="preserve">фиксированные платежи по страховым взносам на обязательное пенсионное страхование и на обязательное медицинское страхование в размерах, установленных </w:t>
      </w:r>
      <w:hyperlink r:id="rId18" w:history="1">
        <w:r w:rsidRPr="00874ED4">
          <w:rPr>
            <w:rStyle w:val="a4"/>
            <w:color w:val="auto"/>
            <w:sz w:val="32"/>
            <w:szCs w:val="32"/>
          </w:rPr>
          <w:t>пунктом 1 статьи 430</w:t>
        </w:r>
      </w:hyperlink>
      <w:r w:rsidRPr="00874ED4">
        <w:rPr>
          <w:sz w:val="32"/>
          <w:szCs w:val="32"/>
        </w:rPr>
        <w:t xml:space="preserve"> Налогового кодекса (в размере 32 448 руб. и 8 426 руб. соответственно за расчетный период 2021 года).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>Кроме того, в случае если упомянутое физическое лицо является еще членом другого КФХ, то уплату за него страховых взносов на</w:t>
      </w:r>
      <w:r w:rsidRPr="00874ED4">
        <w:rPr>
          <w:sz w:val="32"/>
          <w:szCs w:val="32"/>
        </w:rPr>
        <w:t xml:space="preserve"> обязательное пенсионное страхование и на обязательное медицинское страхование в фиксированных размерах производит другое физическое лицо - глава этого КФХ и включает подлежащие уплате суммы в расчет по страховым взносам, который этот глава КФХ представляе</w:t>
      </w:r>
      <w:r w:rsidRPr="00874ED4">
        <w:rPr>
          <w:sz w:val="32"/>
          <w:szCs w:val="32"/>
        </w:rPr>
        <w:t>т в налоговый орган.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>Указанная позиция согласована с Минфином России.</w:t>
      </w:r>
    </w:p>
    <w:p w:rsidR="00000000" w:rsidRPr="00874ED4" w:rsidRDefault="00192D6A">
      <w:pPr>
        <w:rPr>
          <w:sz w:val="32"/>
          <w:szCs w:val="32"/>
        </w:rPr>
      </w:pPr>
      <w:r w:rsidRPr="00874ED4">
        <w:rPr>
          <w:sz w:val="32"/>
          <w:szCs w:val="32"/>
        </w:rPr>
        <w:t>Управлениям ФНС России по субъектам Российской Федерации необходимо довести указанное письмо до нижестоящих налоговых органов.</w:t>
      </w:r>
    </w:p>
    <w:p w:rsidR="00000000" w:rsidRPr="00874ED4" w:rsidRDefault="00192D6A">
      <w:pPr>
        <w:rPr>
          <w:sz w:val="32"/>
          <w:szCs w:val="32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73"/>
        <w:gridCol w:w="3487"/>
      </w:tblGrid>
      <w:tr w:rsidR="00874ED4" w:rsidRPr="00874ED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874ED4" w:rsidRDefault="00192D6A">
            <w:pPr>
              <w:pStyle w:val="a6"/>
              <w:rPr>
                <w:sz w:val="32"/>
                <w:szCs w:val="32"/>
              </w:rPr>
            </w:pPr>
            <w:r w:rsidRPr="00874ED4">
              <w:rPr>
                <w:sz w:val="32"/>
                <w:szCs w:val="32"/>
              </w:rPr>
              <w:t>Действительный</w:t>
            </w:r>
            <w:r w:rsidRPr="00874ED4">
              <w:rPr>
                <w:sz w:val="32"/>
                <w:szCs w:val="32"/>
              </w:rPr>
              <w:br/>
              <w:t>государственный советник</w:t>
            </w:r>
            <w:r w:rsidRPr="00874ED4">
              <w:rPr>
                <w:sz w:val="32"/>
                <w:szCs w:val="32"/>
              </w:rPr>
              <w:br/>
              <w:t>Российской Федерац</w:t>
            </w:r>
            <w:r w:rsidRPr="00874ED4">
              <w:rPr>
                <w:sz w:val="32"/>
                <w:szCs w:val="32"/>
              </w:rPr>
              <w:t>ии</w:t>
            </w:r>
            <w:r w:rsidRPr="00874ED4">
              <w:rPr>
                <w:sz w:val="32"/>
                <w:szCs w:val="32"/>
              </w:rPr>
              <w:br/>
              <w:t>2 класса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874ED4" w:rsidRDefault="00192D6A">
            <w:pPr>
              <w:pStyle w:val="a5"/>
              <w:jc w:val="right"/>
              <w:rPr>
                <w:sz w:val="32"/>
                <w:szCs w:val="32"/>
              </w:rPr>
            </w:pPr>
            <w:r w:rsidRPr="00874ED4">
              <w:rPr>
                <w:sz w:val="32"/>
                <w:szCs w:val="32"/>
              </w:rPr>
              <w:t>С.Л. Бондарчук</w:t>
            </w:r>
          </w:p>
        </w:tc>
      </w:tr>
    </w:tbl>
    <w:p w:rsidR="00192D6A" w:rsidRPr="00874ED4" w:rsidRDefault="00192D6A">
      <w:pPr>
        <w:rPr>
          <w:sz w:val="32"/>
          <w:szCs w:val="32"/>
        </w:rPr>
      </w:pPr>
    </w:p>
    <w:sectPr w:rsidR="00192D6A" w:rsidRPr="00874ED4" w:rsidSect="00874ED4">
      <w:footerReference w:type="default" r:id="rId19"/>
      <w:pgSz w:w="11900" w:h="1680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6A" w:rsidRDefault="00192D6A">
      <w:r>
        <w:separator/>
      </w:r>
    </w:p>
  </w:endnote>
  <w:endnote w:type="continuationSeparator" w:id="0">
    <w:p w:rsidR="00192D6A" w:rsidRDefault="0019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0"/>
      <w:gridCol w:w="3485"/>
      <w:gridCol w:w="3485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92D6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92D6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92D6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6A" w:rsidRDefault="00192D6A">
      <w:r>
        <w:separator/>
      </w:r>
    </w:p>
  </w:footnote>
  <w:footnote w:type="continuationSeparator" w:id="0">
    <w:p w:rsidR="00192D6A" w:rsidRDefault="0019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D4"/>
    <w:rsid w:val="00192D6A"/>
    <w:rsid w:val="00874ED4"/>
    <w:rsid w:val="00A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03C868-F82B-4629-89FA-594E3CA9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874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1102" TargetMode="External"/><Relationship Id="rId13" Type="http://schemas.openxmlformats.org/officeDocument/2006/relationships/hyperlink" Target="http://internet.garant.ru/document/redirect/10900200/41912" TargetMode="External"/><Relationship Id="rId18" Type="http://schemas.openxmlformats.org/officeDocument/2006/relationships/hyperlink" Target="http://internet.garant.ru/document/redirect/10900200/430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0900200/41912" TargetMode="External"/><Relationship Id="rId12" Type="http://schemas.openxmlformats.org/officeDocument/2006/relationships/hyperlink" Target="http://internet.garant.ru/document/redirect/10900200/0" TargetMode="External"/><Relationship Id="rId17" Type="http://schemas.openxmlformats.org/officeDocument/2006/relationships/hyperlink" Target="http://internet.garant.ru/document/redirect/10900200/43011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900200/43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900200/4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900200/430" TargetMode="External"/><Relationship Id="rId10" Type="http://schemas.openxmlformats.org/officeDocument/2006/relationships/hyperlink" Target="http://internet.garant.ru/document/redirect/10900200/4301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900200/430" TargetMode="External"/><Relationship Id="rId14" Type="http://schemas.openxmlformats.org/officeDocument/2006/relationships/hyperlink" Target="http://internet.garant.ru/document/redirect/10900200/43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3</cp:revision>
  <dcterms:created xsi:type="dcterms:W3CDTF">2021-07-23T07:22:00Z</dcterms:created>
  <dcterms:modified xsi:type="dcterms:W3CDTF">2021-07-23T07:22:00Z</dcterms:modified>
</cp:coreProperties>
</file>